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4225" w14:textId="7DBFE97A" w:rsidR="00343DB0" w:rsidRPr="00343DB0" w:rsidRDefault="00343DB0" w:rsidP="00343DB0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B0C0C"/>
          <w:kern w:val="36"/>
          <w:sz w:val="48"/>
          <w:szCs w:val="48"/>
          <w:lang w:eastAsia="en-GB"/>
        </w:rPr>
      </w:pPr>
      <w:r w:rsidRPr="00343DB0">
        <w:rPr>
          <w:rFonts w:ascii="Arial" w:eastAsia="Times New Roman" w:hAnsi="Arial" w:cs="Arial"/>
          <w:b/>
          <w:bCs/>
          <w:color w:val="0B0C0C"/>
          <w:kern w:val="36"/>
          <w:sz w:val="48"/>
          <w:szCs w:val="48"/>
          <w:lang w:eastAsia="en-GB"/>
        </w:rPr>
        <w:t>DFE Information Api</w:t>
      </w:r>
      <w:r>
        <w:rPr>
          <w:rFonts w:ascii="Arial" w:eastAsia="Times New Roman" w:hAnsi="Arial" w:cs="Arial"/>
          <w:b/>
          <w:bCs/>
          <w:color w:val="0B0C0C"/>
          <w:kern w:val="36"/>
          <w:sz w:val="48"/>
          <w:szCs w:val="48"/>
          <w:lang w:eastAsia="en-GB"/>
        </w:rPr>
        <w:t xml:space="preserve"> – Usage Guideline</w:t>
      </w:r>
    </w:p>
    <w:tbl>
      <w:tblPr>
        <w:tblW w:w="10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2"/>
        <w:gridCol w:w="5238"/>
      </w:tblGrid>
      <w:tr w:rsidR="00343DB0" w:rsidRPr="00343DB0" w14:paraId="6DFF72F3" w14:textId="77777777" w:rsidTr="00343DB0">
        <w:tc>
          <w:tcPr>
            <w:tcW w:w="4796" w:type="dxa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0B05EE9" w14:textId="77777777" w:rsidR="00343DB0" w:rsidRPr="00343DB0" w:rsidRDefault="00343DB0" w:rsidP="00343DB0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343DB0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  <w:t>Lifecycle stage</w:t>
            </w:r>
          </w:p>
        </w:tc>
        <w:tc>
          <w:tcPr>
            <w:tcW w:w="5084" w:type="dxa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0935BF7A" w14:textId="77777777" w:rsidR="00343DB0" w:rsidRPr="00343DB0" w:rsidRDefault="00343DB0" w:rsidP="00343DB0">
            <w:pPr>
              <w:spacing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343DB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Alpha</w:t>
            </w:r>
          </w:p>
        </w:tc>
      </w:tr>
    </w:tbl>
    <w:p w14:paraId="7BE9D27E" w14:textId="77777777" w:rsidR="00343DB0" w:rsidRPr="00343DB0" w:rsidRDefault="00876E15" w:rsidP="00343DB0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hyperlink r:id="rId5" w:anchor="overview" w:history="1">
        <w:r w:rsidR="00343DB0" w:rsidRPr="00343DB0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Overview</w:t>
        </w:r>
      </w:hyperlink>
    </w:p>
    <w:p w14:paraId="543D17E5" w14:textId="77777777" w:rsidR="00343DB0" w:rsidRPr="00343DB0" w:rsidRDefault="00876E15" w:rsidP="00343DB0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hyperlink r:id="rId6" w:anchor="versioning" w:history="1">
        <w:r w:rsidR="00343DB0" w:rsidRPr="00343DB0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Versioning</w:t>
        </w:r>
      </w:hyperlink>
    </w:p>
    <w:p w14:paraId="46CA8A3A" w14:textId="77777777" w:rsidR="00343DB0" w:rsidRPr="00343DB0" w:rsidRDefault="00876E15" w:rsidP="00343DB0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hyperlink r:id="rId7" w:anchor="api-browser-and-swagger-file" w:history="1">
        <w:r w:rsidR="00343DB0" w:rsidRPr="00343DB0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API browser and swagger file</w:t>
        </w:r>
      </w:hyperlink>
    </w:p>
    <w:p w14:paraId="6325AB56" w14:textId="77777777" w:rsidR="00343DB0" w:rsidRPr="00343DB0" w:rsidRDefault="00876E15" w:rsidP="00343DB0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hyperlink r:id="rId8" w:anchor="http-status-codes" w:history="1">
        <w:r w:rsidR="00343DB0" w:rsidRPr="00343DB0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HTTP status codes</w:t>
        </w:r>
      </w:hyperlink>
    </w:p>
    <w:p w14:paraId="372ADB08" w14:textId="77777777" w:rsidR="00343DB0" w:rsidRPr="00343DB0" w:rsidRDefault="00876E15" w:rsidP="00343DB0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hyperlink r:id="rId9" w:anchor="api-error-codes" w:history="1">
        <w:r w:rsidR="00343DB0" w:rsidRPr="00343DB0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API error codes</w:t>
        </w:r>
      </w:hyperlink>
    </w:p>
    <w:p w14:paraId="0221A51E" w14:textId="77777777" w:rsidR="00343DB0" w:rsidRPr="00343DB0" w:rsidRDefault="00876E15" w:rsidP="00343DB0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hyperlink r:id="rId10" w:anchor="rait-limiting" w:history="1">
        <w:r w:rsidR="00343DB0" w:rsidRPr="00343DB0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Rate Limiting</w:t>
        </w:r>
      </w:hyperlink>
    </w:p>
    <w:p w14:paraId="5FC80FE4" w14:textId="77777777" w:rsidR="00343DB0" w:rsidRPr="00343DB0" w:rsidRDefault="00876E15" w:rsidP="00343DB0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hyperlink r:id="rId11" w:anchor="endpoints" w:history="1">
        <w:r w:rsidR="00343DB0" w:rsidRPr="00343DB0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Endpoints</w:t>
        </w:r>
      </w:hyperlink>
    </w:p>
    <w:p w14:paraId="19168D2D" w14:textId="77777777" w:rsidR="00343DB0" w:rsidRPr="00343DB0" w:rsidRDefault="00876E15" w:rsidP="0034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508009BC">
          <v:rect id="_x0000_i1025" style="width:0;height:0" o:hralign="center" o:hrstd="t" o:hrnoshade="t" o:hr="t" fillcolor="black" stroked="f"/>
        </w:pict>
      </w:r>
    </w:p>
    <w:p w14:paraId="1132BEAF" w14:textId="77777777" w:rsidR="00343DB0" w:rsidRPr="00343DB0" w:rsidRDefault="00343DB0" w:rsidP="00343DB0">
      <w:pPr>
        <w:spacing w:after="450" w:line="240" w:lineRule="auto"/>
        <w:outlineLvl w:val="1"/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</w:pPr>
      <w:r w:rsidRPr="00343DB0"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  <w:t>1. Overview</w:t>
      </w:r>
    </w:p>
    <w:p w14:paraId="62C9F00D" w14:textId="4B58A960" w:rsidR="00343DB0" w:rsidRPr="00343DB0" w:rsidRDefault="00343DB0" w:rsidP="00343DB0">
      <w:pPr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43D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The DfE Information API has been created as an example to demonstrate the capabilities of </w:t>
      </w:r>
      <w:r w:rsidR="00F87DF8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Find and Use an API</w:t>
      </w:r>
      <w:r w:rsidRPr="00343D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. It allows software developers to connect with </w:t>
      </w:r>
      <w:r w:rsidR="00F1181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Find and Use an API</w:t>
      </w:r>
      <w:r w:rsidRPr="00343D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and access some basic information about the Department to prove access to:</w:t>
      </w:r>
    </w:p>
    <w:p w14:paraId="780B1090" w14:textId="77777777" w:rsidR="00343DB0" w:rsidRPr="00343DB0" w:rsidRDefault="00343DB0" w:rsidP="00343DB0">
      <w:pPr>
        <w:numPr>
          <w:ilvl w:val="0"/>
          <w:numId w:val="2"/>
        </w:numPr>
        <w:spacing w:before="100" w:beforeAutospacing="1" w:after="75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43D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Low restricted endpoint APIs</w:t>
      </w:r>
    </w:p>
    <w:p w14:paraId="5B876F74" w14:textId="77777777" w:rsidR="00343DB0" w:rsidRPr="00343DB0" w:rsidRDefault="00343DB0" w:rsidP="00343DB0">
      <w:pPr>
        <w:numPr>
          <w:ilvl w:val="1"/>
          <w:numId w:val="2"/>
        </w:numPr>
        <w:spacing w:before="100" w:beforeAutospacing="1" w:after="75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43D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Open-info endpoint is an example of least restricted endpoint</w:t>
      </w:r>
    </w:p>
    <w:p w14:paraId="75CB9AD1" w14:textId="77777777" w:rsidR="00343DB0" w:rsidRPr="00343DB0" w:rsidRDefault="00343DB0" w:rsidP="00343DB0">
      <w:pPr>
        <w:numPr>
          <w:ilvl w:val="0"/>
          <w:numId w:val="2"/>
        </w:numPr>
        <w:spacing w:before="100" w:beforeAutospacing="1" w:after="75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43D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Application restricted endpoint APIs</w:t>
      </w:r>
    </w:p>
    <w:p w14:paraId="1EFF306D" w14:textId="77777777" w:rsidR="00343DB0" w:rsidRPr="00343DB0" w:rsidRDefault="00343DB0" w:rsidP="00343DB0">
      <w:pPr>
        <w:numPr>
          <w:ilvl w:val="1"/>
          <w:numId w:val="2"/>
        </w:numPr>
        <w:spacing w:before="100" w:beforeAutospacing="1" w:after="75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43D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Application-info endpoint is an example of application restricted endpoint</w:t>
      </w:r>
    </w:p>
    <w:p w14:paraId="3EF179AC" w14:textId="77777777" w:rsidR="00343DB0" w:rsidRPr="00343DB0" w:rsidRDefault="00343DB0" w:rsidP="00343DB0">
      <w:pPr>
        <w:numPr>
          <w:ilvl w:val="0"/>
          <w:numId w:val="2"/>
        </w:numPr>
        <w:spacing w:before="100" w:beforeAutospacing="1" w:after="75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43D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User restricted endpoint APIs</w:t>
      </w:r>
    </w:p>
    <w:p w14:paraId="50D59E8A" w14:textId="77777777" w:rsidR="00343DB0" w:rsidRPr="00343DB0" w:rsidRDefault="00343DB0" w:rsidP="00343DB0">
      <w:pPr>
        <w:numPr>
          <w:ilvl w:val="1"/>
          <w:numId w:val="2"/>
        </w:numPr>
        <w:spacing w:before="100" w:beforeAutospacing="1" w:after="75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43D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User-info is an example of a user-restricted endpoin</w:t>
      </w:r>
    </w:p>
    <w:p w14:paraId="2E2FF2EB" w14:textId="77777777" w:rsidR="00343DB0" w:rsidRPr="00343DB0" w:rsidRDefault="00343DB0" w:rsidP="00343DB0">
      <w:pPr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43D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Further details of the different access levels are given on the </w:t>
      </w:r>
      <w:hyperlink r:id="rId12" w:history="1">
        <w:r w:rsidRPr="00343DB0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Authorisation</w:t>
        </w:r>
      </w:hyperlink>
      <w:r w:rsidRPr="00343D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 page.</w:t>
      </w:r>
    </w:p>
    <w:p w14:paraId="0086F299" w14:textId="77777777" w:rsidR="00343DB0" w:rsidRPr="00343DB0" w:rsidRDefault="00343DB0" w:rsidP="00343DB0">
      <w:pPr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43D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For more information about how to develop your own client applications, including example clients for this API, see </w:t>
      </w:r>
      <w:hyperlink r:id="rId13" w:history="1">
        <w:r w:rsidRPr="00343DB0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Tutorials</w:t>
        </w:r>
      </w:hyperlink>
      <w:r w:rsidRPr="00343D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</w:p>
    <w:p w14:paraId="54158729" w14:textId="77777777" w:rsidR="00343DB0" w:rsidRPr="00343DB0" w:rsidRDefault="00343DB0" w:rsidP="00343DB0">
      <w:pPr>
        <w:spacing w:after="450" w:line="240" w:lineRule="auto"/>
        <w:outlineLvl w:val="1"/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</w:pPr>
      <w:r w:rsidRPr="00343DB0"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  <w:t>2. Versioning</w:t>
      </w:r>
    </w:p>
    <w:p w14:paraId="58EF16D9" w14:textId="466CD745" w:rsidR="00343DB0" w:rsidRDefault="00343DB0" w:rsidP="00343DB0">
      <w:pPr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43D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When an API changes, we will strive to make backwards compatible changes were possible. When this is not possible, we will provide a notice on deprecated endpoints and make a new endpoint available. The current live version of the DfE Information API is 1.0.</w:t>
      </w:r>
    </w:p>
    <w:p w14:paraId="588B45E9" w14:textId="77777777" w:rsidR="00343DB0" w:rsidRPr="00343DB0" w:rsidRDefault="00343DB0" w:rsidP="00343DB0">
      <w:pPr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14:paraId="674C57CC" w14:textId="77777777" w:rsidR="00343DB0" w:rsidRPr="00343DB0" w:rsidRDefault="00343DB0" w:rsidP="00343DB0">
      <w:pPr>
        <w:spacing w:after="450" w:line="240" w:lineRule="auto"/>
        <w:outlineLvl w:val="1"/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</w:pPr>
      <w:r w:rsidRPr="00343DB0"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  <w:lastRenderedPageBreak/>
        <w:t>3. API browser and swagger file</w:t>
      </w:r>
    </w:p>
    <w:p w14:paraId="76D12C8F" w14:textId="77777777" w:rsidR="00343DB0" w:rsidRPr="00343DB0" w:rsidRDefault="00343DB0" w:rsidP="00343DB0">
      <w:pPr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43D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For more detailed schema information on each DfE Information API, you can:</w:t>
      </w:r>
    </w:p>
    <w:p w14:paraId="51A76907" w14:textId="77777777" w:rsidR="00343DB0" w:rsidRPr="00343DB0" w:rsidRDefault="00343DB0" w:rsidP="00343DB0">
      <w:pPr>
        <w:numPr>
          <w:ilvl w:val="0"/>
          <w:numId w:val="3"/>
        </w:numPr>
        <w:spacing w:before="100" w:beforeAutospacing="1" w:after="75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43D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open the API browser like Swagger Editor</w:t>
      </w:r>
    </w:p>
    <w:p w14:paraId="1E750DC8" w14:textId="77777777" w:rsidR="00343DB0" w:rsidRPr="00343DB0" w:rsidRDefault="00343DB0" w:rsidP="00343DB0">
      <w:pPr>
        <w:numPr>
          <w:ilvl w:val="0"/>
          <w:numId w:val="3"/>
        </w:numPr>
        <w:spacing w:before="100" w:beforeAutospacing="1" w:after="75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43D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look at the DfE Information API Swagger file: </w:t>
      </w:r>
      <w:hyperlink r:id="rId14" w:history="1">
        <w:r w:rsidRPr="00343DB0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download</w:t>
        </w:r>
      </w:hyperlink>
    </w:p>
    <w:p w14:paraId="0B9E7C23" w14:textId="77777777" w:rsidR="00343DB0" w:rsidRPr="00343DB0" w:rsidRDefault="00343DB0" w:rsidP="00343DB0">
      <w:pPr>
        <w:numPr>
          <w:ilvl w:val="0"/>
          <w:numId w:val="3"/>
        </w:numPr>
        <w:spacing w:before="100" w:beforeAutospacing="1" w:after="75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43D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You can also generate a client library from the Swagger file using the Swagger editor.</w:t>
      </w:r>
    </w:p>
    <w:p w14:paraId="5A0D1352" w14:textId="77777777" w:rsidR="00343DB0" w:rsidRPr="00343DB0" w:rsidRDefault="00343DB0" w:rsidP="00343DB0">
      <w:pPr>
        <w:spacing w:after="450" w:line="240" w:lineRule="auto"/>
        <w:outlineLvl w:val="1"/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</w:pPr>
      <w:r w:rsidRPr="00343DB0"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  <w:t>4. HTTP status codes</w:t>
      </w:r>
    </w:p>
    <w:p w14:paraId="42AB0B01" w14:textId="77777777" w:rsidR="00343DB0" w:rsidRPr="00343DB0" w:rsidRDefault="00343DB0" w:rsidP="00343DB0">
      <w:pPr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43D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The DfE Information API uses standard HTTP response code conventions:</w:t>
      </w:r>
    </w:p>
    <w:p w14:paraId="36D1F384" w14:textId="77777777" w:rsidR="00343DB0" w:rsidRPr="00343DB0" w:rsidRDefault="00343DB0" w:rsidP="00343DB0">
      <w:pPr>
        <w:numPr>
          <w:ilvl w:val="0"/>
          <w:numId w:val="4"/>
        </w:numPr>
        <w:spacing w:before="100" w:beforeAutospacing="1" w:after="75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43D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100 codes are informational</w:t>
      </w:r>
    </w:p>
    <w:p w14:paraId="2F77D3BD" w14:textId="77777777" w:rsidR="00343DB0" w:rsidRPr="00343DB0" w:rsidRDefault="00343DB0" w:rsidP="00343DB0">
      <w:pPr>
        <w:numPr>
          <w:ilvl w:val="0"/>
          <w:numId w:val="4"/>
        </w:numPr>
        <w:spacing w:before="100" w:beforeAutospacing="1" w:after="75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43D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200 codes indicate success</w:t>
      </w:r>
    </w:p>
    <w:p w14:paraId="2302C9C3" w14:textId="77777777" w:rsidR="00343DB0" w:rsidRPr="00343DB0" w:rsidRDefault="00343DB0" w:rsidP="00343DB0">
      <w:pPr>
        <w:numPr>
          <w:ilvl w:val="0"/>
          <w:numId w:val="4"/>
        </w:numPr>
        <w:spacing w:before="100" w:beforeAutospacing="1" w:after="75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43D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300 codes indicate a redirection</w:t>
      </w:r>
    </w:p>
    <w:p w14:paraId="3D02F7FC" w14:textId="77777777" w:rsidR="00343DB0" w:rsidRPr="00343DB0" w:rsidRDefault="00343DB0" w:rsidP="00343DB0">
      <w:pPr>
        <w:numPr>
          <w:ilvl w:val="0"/>
          <w:numId w:val="4"/>
        </w:numPr>
        <w:spacing w:before="100" w:beforeAutospacing="1" w:after="75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43D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400 codes indicate a client-side error</w:t>
      </w:r>
    </w:p>
    <w:p w14:paraId="35F05697" w14:textId="77777777" w:rsidR="00343DB0" w:rsidRPr="00343DB0" w:rsidRDefault="00343DB0" w:rsidP="00343DB0">
      <w:pPr>
        <w:numPr>
          <w:ilvl w:val="0"/>
          <w:numId w:val="4"/>
        </w:numPr>
        <w:spacing w:before="100" w:beforeAutospacing="1" w:after="75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43D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500 codes indicate a server-side error</w:t>
      </w:r>
    </w:p>
    <w:p w14:paraId="6036A2BD" w14:textId="77777777" w:rsidR="00343DB0" w:rsidRPr="00343DB0" w:rsidRDefault="00343DB0" w:rsidP="00343DB0">
      <w:pPr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43D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Common status codes are:</w:t>
      </w:r>
    </w:p>
    <w:tbl>
      <w:tblPr>
        <w:tblW w:w="10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"/>
        <w:gridCol w:w="1865"/>
        <w:gridCol w:w="6858"/>
      </w:tblGrid>
      <w:tr w:rsidR="00343DB0" w:rsidRPr="00343DB0" w14:paraId="3A7A36E7" w14:textId="77777777" w:rsidTr="00343DB0">
        <w:trPr>
          <w:tblHeader/>
        </w:trPr>
        <w:tc>
          <w:tcPr>
            <w:tcW w:w="2255" w:type="dxa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2B0E1C3B" w14:textId="77777777" w:rsidR="00343DB0" w:rsidRPr="00343DB0" w:rsidRDefault="00343DB0" w:rsidP="00343DB0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343DB0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  <w:t>HTTP Status code</w:t>
            </w:r>
          </w:p>
        </w:tc>
        <w:tc>
          <w:tcPr>
            <w:tcW w:w="2242" w:type="dxa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575DC8AB" w14:textId="77777777" w:rsidR="00343DB0" w:rsidRPr="00343DB0" w:rsidRDefault="00343DB0" w:rsidP="00343DB0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343DB0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  <w:t>Message</w:t>
            </w:r>
          </w:p>
        </w:tc>
        <w:tc>
          <w:tcPr>
            <w:tcW w:w="5084" w:type="dxa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43E81BAB" w14:textId="77777777" w:rsidR="00343DB0" w:rsidRPr="00343DB0" w:rsidRDefault="00343DB0" w:rsidP="00343DB0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343DB0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  <w:t>Comments</w:t>
            </w:r>
          </w:p>
        </w:tc>
      </w:tr>
      <w:tr w:rsidR="00343DB0" w:rsidRPr="00343DB0" w14:paraId="7DDA19AD" w14:textId="77777777" w:rsidTr="00343DB0"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D991634" w14:textId="77777777" w:rsidR="00343DB0" w:rsidRPr="00343DB0" w:rsidRDefault="00343DB0" w:rsidP="00343DB0">
            <w:pPr>
              <w:spacing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343DB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4F5C45F" w14:textId="77777777" w:rsidR="00343DB0" w:rsidRPr="00343DB0" w:rsidRDefault="00343DB0" w:rsidP="00343DB0">
            <w:pPr>
              <w:spacing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343DB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OK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137B578B" w14:textId="77777777" w:rsidR="00343DB0" w:rsidRPr="00343DB0" w:rsidRDefault="00343DB0" w:rsidP="00343DB0">
            <w:pPr>
              <w:spacing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343DB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This status code indicates that the request has been processed successfully</w:t>
            </w:r>
          </w:p>
        </w:tc>
      </w:tr>
      <w:tr w:rsidR="00343DB0" w:rsidRPr="00343DB0" w14:paraId="7DC18D01" w14:textId="77777777" w:rsidTr="00343DB0"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33180C2B" w14:textId="77777777" w:rsidR="00343DB0" w:rsidRPr="00343DB0" w:rsidRDefault="00343DB0" w:rsidP="00343DB0">
            <w:pPr>
              <w:spacing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343DB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3C978D16" w14:textId="77777777" w:rsidR="00343DB0" w:rsidRPr="00343DB0" w:rsidRDefault="00343DB0" w:rsidP="00343DB0">
            <w:pPr>
              <w:spacing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343DB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Bad Request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1D0C5910" w14:textId="77777777" w:rsidR="00343DB0" w:rsidRPr="00343DB0" w:rsidRDefault="00343DB0" w:rsidP="00343DB0">
            <w:pPr>
              <w:spacing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343DB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This status code indicates that the incoming request body or parameters do not conform with the OpenAPI/Swagger document which describes the API</w:t>
            </w:r>
          </w:p>
        </w:tc>
      </w:tr>
      <w:tr w:rsidR="00343DB0" w:rsidRPr="00343DB0" w14:paraId="1A780C67" w14:textId="77777777" w:rsidTr="00343DB0"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54B6989" w14:textId="77777777" w:rsidR="00343DB0" w:rsidRPr="00343DB0" w:rsidRDefault="00343DB0" w:rsidP="00343DB0">
            <w:pPr>
              <w:spacing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343DB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403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391C5E26" w14:textId="77777777" w:rsidR="00343DB0" w:rsidRPr="00343DB0" w:rsidRDefault="00343DB0" w:rsidP="00343DB0">
            <w:pPr>
              <w:spacing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343DB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Service Unavailable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1054A62F" w14:textId="77777777" w:rsidR="00343DB0" w:rsidRPr="00343DB0" w:rsidRDefault="00343DB0" w:rsidP="00343DB0">
            <w:pPr>
              <w:spacing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343DB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This status code indicates that the service is currently unavailable</w:t>
            </w:r>
          </w:p>
        </w:tc>
      </w:tr>
      <w:tr w:rsidR="00343DB0" w:rsidRPr="00343DB0" w14:paraId="0C419A14" w14:textId="77777777" w:rsidTr="00343DB0"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A808F28" w14:textId="77777777" w:rsidR="00343DB0" w:rsidRPr="00343DB0" w:rsidRDefault="00343DB0" w:rsidP="00343DB0">
            <w:pPr>
              <w:spacing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343DB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429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100ACCE" w14:textId="77777777" w:rsidR="00343DB0" w:rsidRPr="00343DB0" w:rsidRDefault="00343DB0" w:rsidP="00343DB0">
            <w:pPr>
              <w:spacing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343DB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Too Many Requests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11F201F4" w14:textId="77777777" w:rsidR="00343DB0" w:rsidRPr="00343DB0" w:rsidRDefault="00343DB0" w:rsidP="00343DB0">
            <w:pPr>
              <w:spacing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343DB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This status code indicates that the throttling limit of a client has be exceeded</w:t>
            </w:r>
          </w:p>
        </w:tc>
      </w:tr>
      <w:tr w:rsidR="00343DB0" w:rsidRPr="00343DB0" w14:paraId="57B05C90" w14:textId="77777777" w:rsidTr="00343DB0"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4BC0A53A" w14:textId="77777777" w:rsidR="00343DB0" w:rsidRPr="00343DB0" w:rsidRDefault="00343DB0" w:rsidP="00343DB0">
            <w:pPr>
              <w:spacing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343DB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lastRenderedPageBreak/>
              <w:t>504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388F8DDB" w14:textId="77777777" w:rsidR="00343DB0" w:rsidRPr="00343DB0" w:rsidRDefault="00343DB0" w:rsidP="00343DB0">
            <w:pPr>
              <w:spacing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343DB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Gateway Timeout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641DC61" w14:textId="77777777" w:rsidR="00343DB0" w:rsidRPr="00343DB0" w:rsidRDefault="00343DB0" w:rsidP="00343DB0">
            <w:pPr>
              <w:spacing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343DB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This status code indicates that there is a network connection problem within the layers of the API fulfilment stack</w:t>
            </w:r>
          </w:p>
        </w:tc>
      </w:tr>
    </w:tbl>
    <w:p w14:paraId="23DBECBC" w14:textId="77777777" w:rsidR="00343DB0" w:rsidRPr="00343DB0" w:rsidRDefault="00343DB0" w:rsidP="00343DB0">
      <w:pPr>
        <w:spacing w:after="450" w:line="240" w:lineRule="auto"/>
        <w:outlineLvl w:val="1"/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</w:pPr>
      <w:r w:rsidRPr="00343DB0"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  <w:t>5. API error codes</w:t>
      </w:r>
    </w:p>
    <w:p w14:paraId="4715BBC4" w14:textId="77777777" w:rsidR="00343DB0" w:rsidRPr="00343DB0" w:rsidRDefault="00343DB0" w:rsidP="00343DB0">
      <w:pPr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43D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There are no specific API error codes for the DfE Information API.</w:t>
      </w:r>
    </w:p>
    <w:p w14:paraId="27D13562" w14:textId="77777777" w:rsidR="00343DB0" w:rsidRPr="00343DB0" w:rsidRDefault="00343DB0" w:rsidP="00343DB0">
      <w:pPr>
        <w:spacing w:after="450" w:line="240" w:lineRule="auto"/>
        <w:outlineLvl w:val="1"/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</w:pPr>
      <w:r w:rsidRPr="00343DB0"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  <w:t>6. Rate Limiting</w:t>
      </w:r>
    </w:p>
    <w:p w14:paraId="1FF9A8A6" w14:textId="77777777" w:rsidR="00343DB0" w:rsidRPr="00343DB0" w:rsidRDefault="00343DB0" w:rsidP="00343DB0">
      <w:pPr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43D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We have introduced limits on API usage rates in terms of requests per minute.</w:t>
      </w:r>
    </w:p>
    <w:p w14:paraId="47C7BD0C" w14:textId="77777777" w:rsidR="00343DB0" w:rsidRPr="00343DB0" w:rsidRDefault="00343DB0" w:rsidP="00343DB0">
      <w:pPr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43D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If you exceed this limit, you will receive a 429 Too Many Requests HTTP status code for each request made within the remainder of the time.</w:t>
      </w:r>
    </w:p>
    <w:p w14:paraId="54AC5FE8" w14:textId="77777777" w:rsidR="00343DB0" w:rsidRPr="00343DB0" w:rsidRDefault="00343DB0" w:rsidP="00343DB0">
      <w:pPr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43D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Per minute, you can make:</w:t>
      </w:r>
    </w:p>
    <w:p w14:paraId="73E82C5B" w14:textId="77777777" w:rsidR="00343DB0" w:rsidRPr="00343DB0" w:rsidRDefault="00343DB0" w:rsidP="00343DB0">
      <w:pPr>
        <w:numPr>
          <w:ilvl w:val="0"/>
          <w:numId w:val="5"/>
        </w:numPr>
        <w:spacing w:before="100" w:beforeAutospacing="1" w:after="75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43D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Up to 10 GET requests per endpoint</w:t>
      </w:r>
    </w:p>
    <w:p w14:paraId="2CFAA089" w14:textId="77777777" w:rsidR="00343DB0" w:rsidRPr="00343DB0" w:rsidRDefault="00343DB0" w:rsidP="00343DB0">
      <w:pPr>
        <w:spacing w:after="450" w:line="240" w:lineRule="auto"/>
        <w:outlineLvl w:val="1"/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</w:pPr>
      <w:r w:rsidRPr="00343DB0"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  <w:t>7. Endpoints</w:t>
      </w:r>
    </w:p>
    <w:p w14:paraId="25ED7CD1" w14:textId="77777777" w:rsidR="00343DB0" w:rsidRPr="00343DB0" w:rsidRDefault="00343DB0" w:rsidP="00343DB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3DB0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/dfe/</w:t>
      </w:r>
      <w:r w:rsidRPr="00343D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open-info</w:t>
      </w:r>
    </w:p>
    <w:p w14:paraId="22DA179F" w14:textId="77777777" w:rsidR="00343DB0" w:rsidRPr="00343DB0" w:rsidRDefault="00343DB0" w:rsidP="00343DB0">
      <w:pPr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3DB0">
        <w:rPr>
          <w:rFonts w:ascii="Arial" w:eastAsia="Times New Roman" w:hAnsi="Arial" w:cs="Arial"/>
          <w:b/>
          <w:bCs/>
          <w:caps/>
          <w:color w:val="144E81"/>
          <w:spacing w:val="15"/>
          <w:sz w:val="18"/>
          <w:szCs w:val="18"/>
          <w:shd w:val="clear" w:color="auto" w:fill="D2E2F1"/>
          <w:lang w:eastAsia="en-GB"/>
        </w:rPr>
        <w:t>GET</w:t>
      </w:r>
    </w:p>
    <w:p w14:paraId="23C9035C" w14:textId="77777777" w:rsidR="00343DB0" w:rsidRPr="00343DB0" w:rsidRDefault="00343DB0" w:rsidP="00343DB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43D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Description</w:t>
      </w:r>
    </w:p>
    <w:p w14:paraId="719296AB" w14:textId="77777777" w:rsidR="00343DB0" w:rsidRPr="00343DB0" w:rsidRDefault="00343DB0" w:rsidP="00343DB0">
      <w:pPr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43D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 simple example for integrating with a low restriction DfE APIs.</w:t>
      </w:r>
    </w:p>
    <w:p w14:paraId="1FAB0B72" w14:textId="77777777" w:rsidR="00343DB0" w:rsidRPr="00343DB0" w:rsidRDefault="00343DB0" w:rsidP="00343DB0">
      <w:pPr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43D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Any request to this endpoint returns a text paragraph providing high level information about the department.</w:t>
      </w:r>
    </w:p>
    <w:p w14:paraId="7FE2C87C" w14:textId="77777777" w:rsidR="00343DB0" w:rsidRPr="00343DB0" w:rsidRDefault="00343DB0" w:rsidP="00343DB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43D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Authorisation</w:t>
      </w:r>
    </w:p>
    <w:p w14:paraId="3A324677" w14:textId="77777777" w:rsidR="00343DB0" w:rsidRPr="00343DB0" w:rsidRDefault="00343DB0" w:rsidP="00343DB0">
      <w:pPr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43D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This endpoint is least restricted and requires no Authorisation header. You would however need to send DfE Information API Subscription key in a header. This key can be retrieved by Subscribing to the API.</w:t>
      </w:r>
    </w:p>
    <w:p w14:paraId="35C6222A" w14:textId="77777777" w:rsidR="00343DB0" w:rsidRPr="00343DB0" w:rsidRDefault="00343DB0" w:rsidP="00343DB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43D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Request headers</w:t>
      </w:r>
    </w:p>
    <w:tbl>
      <w:tblPr>
        <w:tblW w:w="95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1"/>
        <w:gridCol w:w="4938"/>
      </w:tblGrid>
      <w:tr w:rsidR="00343DB0" w:rsidRPr="00343DB0" w14:paraId="57DD2ABD" w14:textId="77777777" w:rsidTr="00343DB0">
        <w:trPr>
          <w:tblHeader/>
        </w:trPr>
        <w:tc>
          <w:tcPr>
            <w:tcW w:w="4496" w:type="dxa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D19846C" w14:textId="77777777" w:rsidR="00343DB0" w:rsidRPr="00343DB0" w:rsidRDefault="00343DB0" w:rsidP="00343DB0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343DB0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  <w:lastRenderedPageBreak/>
              <w:t>Name</w:t>
            </w:r>
          </w:p>
        </w:tc>
        <w:tc>
          <w:tcPr>
            <w:tcW w:w="4783" w:type="dxa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26F9CA93" w14:textId="77777777" w:rsidR="00343DB0" w:rsidRPr="00343DB0" w:rsidRDefault="00343DB0" w:rsidP="00343DB0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343DB0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  <w:t>Description</w:t>
            </w:r>
          </w:p>
        </w:tc>
      </w:tr>
      <w:tr w:rsidR="00343DB0" w:rsidRPr="00343DB0" w14:paraId="07A78983" w14:textId="77777777" w:rsidTr="00343DB0"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5ABD7D7C" w14:textId="77777777" w:rsidR="00343DB0" w:rsidRPr="00343DB0" w:rsidRDefault="00343DB0" w:rsidP="00343DB0">
            <w:pPr>
              <w:spacing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343DB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Ocp-Apim-Subscription-Key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3283DC4F" w14:textId="77777777" w:rsidR="00343DB0" w:rsidRPr="00343DB0" w:rsidRDefault="00343DB0" w:rsidP="00343DB0">
            <w:pPr>
              <w:spacing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343DB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DfE Information API subscription key</w:t>
            </w:r>
          </w:p>
        </w:tc>
      </w:tr>
    </w:tbl>
    <w:p w14:paraId="41530CA7" w14:textId="77777777" w:rsidR="00343DB0" w:rsidRPr="00343DB0" w:rsidRDefault="00343DB0" w:rsidP="00343DB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43D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Response</w:t>
      </w:r>
    </w:p>
    <w:p w14:paraId="2A194700" w14:textId="77777777" w:rsidR="00343DB0" w:rsidRPr="00343DB0" w:rsidRDefault="00343DB0" w:rsidP="00343DB0">
      <w:pPr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43D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HTTP status: </w:t>
      </w:r>
      <w:r w:rsidRPr="00343DB0">
        <w:rPr>
          <w:rFonts w:ascii="Consolas" w:eastAsia="Times New Roman" w:hAnsi="Consolas" w:cs="Courier New"/>
          <w:color w:val="0B0C0C"/>
          <w:sz w:val="21"/>
          <w:szCs w:val="21"/>
          <w:bdr w:val="none" w:sz="0" w:space="0" w:color="auto" w:frame="1"/>
          <w:shd w:val="clear" w:color="auto" w:fill="F8F8F8"/>
          <w:lang w:eastAsia="en-GB"/>
        </w:rPr>
        <w:t>200 (OK)</w:t>
      </w:r>
    </w:p>
    <w:p w14:paraId="26C586CB" w14:textId="77777777" w:rsidR="00343DB0" w:rsidRPr="00343DB0" w:rsidRDefault="00343DB0" w:rsidP="0034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3DB0">
        <w:rPr>
          <w:rFonts w:ascii="Consolas" w:eastAsia="Times New Roman" w:hAnsi="Consolas" w:cs="Courier New"/>
          <w:color w:val="0B0C0C"/>
          <w:sz w:val="21"/>
          <w:szCs w:val="21"/>
          <w:bdr w:val="none" w:sz="0" w:space="0" w:color="auto" w:frame="1"/>
          <w:shd w:val="clear" w:color="auto" w:fill="F8F8F8"/>
          <w:lang w:eastAsia="en-GB"/>
        </w:rPr>
        <w:t>{ "Open Information: The Department for Education is responsible for children’s services and education, including early years, schools, higher and further education policy, apprenticeships and wider skills in England." }</w:t>
      </w:r>
    </w:p>
    <w:p w14:paraId="02D0F1A4" w14:textId="77777777" w:rsidR="00343DB0" w:rsidRPr="00343DB0" w:rsidRDefault="00343DB0" w:rsidP="00343DB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3DB0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/dfe/</w:t>
      </w:r>
      <w:r w:rsidRPr="00343D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application-info</w:t>
      </w:r>
    </w:p>
    <w:p w14:paraId="24D2D687" w14:textId="77777777" w:rsidR="00343DB0" w:rsidRPr="00343DB0" w:rsidRDefault="00343DB0" w:rsidP="00343DB0">
      <w:pPr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3DB0">
        <w:rPr>
          <w:rFonts w:ascii="Arial" w:eastAsia="Times New Roman" w:hAnsi="Arial" w:cs="Arial"/>
          <w:b/>
          <w:bCs/>
          <w:caps/>
          <w:color w:val="144E81"/>
          <w:spacing w:val="15"/>
          <w:sz w:val="18"/>
          <w:szCs w:val="18"/>
          <w:shd w:val="clear" w:color="auto" w:fill="D2E2F1"/>
          <w:lang w:eastAsia="en-GB"/>
        </w:rPr>
        <w:t>GET</w:t>
      </w:r>
    </w:p>
    <w:p w14:paraId="477CCA7E" w14:textId="77777777" w:rsidR="00343DB0" w:rsidRPr="00343DB0" w:rsidRDefault="00343DB0" w:rsidP="00343DB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43D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Description</w:t>
      </w:r>
    </w:p>
    <w:p w14:paraId="19711F43" w14:textId="77777777" w:rsidR="00343DB0" w:rsidRPr="00343DB0" w:rsidRDefault="00343DB0" w:rsidP="00343DB0">
      <w:pPr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43D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 simple example for integrating with an application restricted endpoint.</w:t>
      </w:r>
    </w:p>
    <w:p w14:paraId="23C91EDD" w14:textId="77777777" w:rsidR="00343DB0" w:rsidRPr="00343DB0" w:rsidRDefault="00343DB0" w:rsidP="00343DB0">
      <w:pPr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43D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Any request to this endpoint returns a text paragraph providing high level information about the department.</w:t>
      </w:r>
    </w:p>
    <w:p w14:paraId="75B1CFBC" w14:textId="77777777" w:rsidR="00343DB0" w:rsidRPr="00343DB0" w:rsidRDefault="00343DB0" w:rsidP="00343DB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43D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Authorisation</w:t>
      </w:r>
    </w:p>
    <w:p w14:paraId="417B5C21" w14:textId="77777777" w:rsidR="00343DB0" w:rsidRPr="00343DB0" w:rsidRDefault="00343DB0" w:rsidP="00343DB0">
      <w:pPr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43D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This endpoint is application restricted and requires an access token to be sent in the Authorisation header. You also need to send a DfE Information API Subscription key in a header. This key can be retrieved by Subscribing to the API.</w:t>
      </w:r>
    </w:p>
    <w:p w14:paraId="348A2924" w14:textId="77777777" w:rsidR="00343DB0" w:rsidRPr="00343DB0" w:rsidRDefault="00343DB0" w:rsidP="00343DB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43D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Request headers</w:t>
      </w:r>
    </w:p>
    <w:tbl>
      <w:tblPr>
        <w:tblW w:w="95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7"/>
        <w:gridCol w:w="6432"/>
      </w:tblGrid>
      <w:tr w:rsidR="00343DB0" w:rsidRPr="00343DB0" w14:paraId="45CC8B00" w14:textId="77777777" w:rsidTr="00343DB0">
        <w:trPr>
          <w:tblHeader/>
        </w:trPr>
        <w:tc>
          <w:tcPr>
            <w:tcW w:w="4496" w:type="dxa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33592B09" w14:textId="77777777" w:rsidR="00343DB0" w:rsidRPr="00343DB0" w:rsidRDefault="00343DB0" w:rsidP="00343DB0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343DB0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4783" w:type="dxa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ED4D3C1" w14:textId="77777777" w:rsidR="00343DB0" w:rsidRPr="00343DB0" w:rsidRDefault="00343DB0" w:rsidP="00343DB0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343DB0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  <w:t>Description</w:t>
            </w:r>
          </w:p>
        </w:tc>
      </w:tr>
      <w:tr w:rsidR="00343DB0" w:rsidRPr="00343DB0" w14:paraId="4FEF9DAD" w14:textId="77777777" w:rsidTr="00343DB0"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52FD4A74" w14:textId="77777777" w:rsidR="00343DB0" w:rsidRPr="00343DB0" w:rsidRDefault="00343DB0" w:rsidP="00343DB0">
            <w:pPr>
              <w:spacing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343DB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Ocp-Apim-Subscription-Key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5A1E1A9B" w14:textId="77777777" w:rsidR="00343DB0" w:rsidRPr="00343DB0" w:rsidRDefault="00343DB0" w:rsidP="00343DB0">
            <w:pPr>
              <w:spacing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343DB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DfE Information API subscription key</w:t>
            </w:r>
          </w:p>
        </w:tc>
      </w:tr>
      <w:tr w:rsidR="00343DB0" w:rsidRPr="00343DB0" w14:paraId="6B94EA02" w14:textId="77777777" w:rsidTr="00343DB0"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3680C8DE" w14:textId="77777777" w:rsidR="00343DB0" w:rsidRPr="00343DB0" w:rsidRDefault="00343DB0" w:rsidP="00343DB0">
            <w:pPr>
              <w:spacing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343DB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Authorisation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05A6D062" w14:textId="77777777" w:rsidR="00343DB0" w:rsidRPr="00343DB0" w:rsidRDefault="00343DB0" w:rsidP="00343DB0">
            <w:pPr>
              <w:spacing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343DB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An OAuth 2.0 Bearer token. For example: </w:t>
            </w:r>
            <w:r w:rsidRPr="00343DB0">
              <w:rPr>
                <w:rFonts w:ascii="Consolas" w:eastAsia="Times New Roman" w:hAnsi="Consolas" w:cs="Courier New"/>
                <w:color w:val="0B0C0C"/>
                <w:sz w:val="21"/>
                <w:szCs w:val="21"/>
                <w:bdr w:val="none" w:sz="0" w:space="0" w:color="auto" w:frame="1"/>
                <w:shd w:val="clear" w:color="auto" w:fill="F8F8F8"/>
                <w:lang w:eastAsia="en-GB"/>
              </w:rPr>
              <w:t>Bearer d3931854e4f440138f8e2e9dc007635a</w:t>
            </w:r>
          </w:p>
        </w:tc>
      </w:tr>
    </w:tbl>
    <w:p w14:paraId="4AE24796" w14:textId="77777777" w:rsidR="00343DB0" w:rsidRPr="00343DB0" w:rsidRDefault="00343DB0" w:rsidP="00343DB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43D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Response</w:t>
      </w:r>
    </w:p>
    <w:p w14:paraId="65E11EE1" w14:textId="77777777" w:rsidR="00343DB0" w:rsidRPr="00343DB0" w:rsidRDefault="00343DB0" w:rsidP="00343DB0">
      <w:pPr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43D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HTTP status: </w:t>
      </w:r>
      <w:r w:rsidRPr="00343DB0">
        <w:rPr>
          <w:rFonts w:ascii="Consolas" w:eastAsia="Times New Roman" w:hAnsi="Consolas" w:cs="Courier New"/>
          <w:color w:val="0B0C0C"/>
          <w:sz w:val="21"/>
          <w:szCs w:val="21"/>
          <w:bdr w:val="none" w:sz="0" w:space="0" w:color="auto" w:frame="1"/>
          <w:shd w:val="clear" w:color="auto" w:fill="F8F8F8"/>
          <w:lang w:eastAsia="en-GB"/>
        </w:rPr>
        <w:t>200 (OK)</w:t>
      </w:r>
    </w:p>
    <w:p w14:paraId="086A9255" w14:textId="77777777" w:rsidR="00343DB0" w:rsidRPr="00343DB0" w:rsidRDefault="00343DB0" w:rsidP="0034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3DB0">
        <w:rPr>
          <w:rFonts w:ascii="Consolas" w:eastAsia="Times New Roman" w:hAnsi="Consolas" w:cs="Courier New"/>
          <w:color w:val="0B0C0C"/>
          <w:sz w:val="21"/>
          <w:szCs w:val="21"/>
          <w:bdr w:val="none" w:sz="0" w:space="0" w:color="auto" w:frame="1"/>
          <w:shd w:val="clear" w:color="auto" w:fill="F8F8F8"/>
          <w:lang w:eastAsia="en-GB"/>
        </w:rPr>
        <w:lastRenderedPageBreak/>
        <w:t>{ "Open Information: The Department for Education is responsible for children’s services and education, including early years, schools, higher and further education policy, apprenticeships and wider skills in England." }</w:t>
      </w:r>
    </w:p>
    <w:p w14:paraId="7B7C6C44" w14:textId="77777777" w:rsidR="00343DB0" w:rsidRPr="00343DB0" w:rsidRDefault="00343DB0" w:rsidP="00343DB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3DB0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/dfe/</w:t>
      </w:r>
      <w:r w:rsidRPr="00343D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user-info</w:t>
      </w:r>
    </w:p>
    <w:p w14:paraId="6F525F0B" w14:textId="77777777" w:rsidR="00343DB0" w:rsidRPr="00343DB0" w:rsidRDefault="00343DB0" w:rsidP="00343DB0">
      <w:pPr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3DB0">
        <w:rPr>
          <w:rFonts w:ascii="Arial" w:eastAsia="Times New Roman" w:hAnsi="Arial" w:cs="Arial"/>
          <w:b/>
          <w:bCs/>
          <w:caps/>
          <w:color w:val="144E81"/>
          <w:spacing w:val="15"/>
          <w:sz w:val="18"/>
          <w:szCs w:val="18"/>
          <w:shd w:val="clear" w:color="auto" w:fill="D2E2F1"/>
          <w:lang w:eastAsia="en-GB"/>
        </w:rPr>
        <w:t>GET</w:t>
      </w:r>
    </w:p>
    <w:p w14:paraId="46150A07" w14:textId="77777777" w:rsidR="00343DB0" w:rsidRPr="00343DB0" w:rsidRDefault="00343DB0" w:rsidP="00343DB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43D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Description</w:t>
      </w:r>
    </w:p>
    <w:p w14:paraId="302E9113" w14:textId="77777777" w:rsidR="00343DB0" w:rsidRPr="00343DB0" w:rsidRDefault="00343DB0" w:rsidP="00343DB0">
      <w:pPr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43D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 simple example for integrating with a user restricted endpoint.</w:t>
      </w:r>
    </w:p>
    <w:p w14:paraId="05805A47" w14:textId="77777777" w:rsidR="00343DB0" w:rsidRPr="00343DB0" w:rsidRDefault="00343DB0" w:rsidP="00343DB0">
      <w:pPr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43D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Any request to this endpoint returns a text paragraph providing high level information about the department.</w:t>
      </w:r>
    </w:p>
    <w:p w14:paraId="2813F723" w14:textId="77777777" w:rsidR="00343DB0" w:rsidRPr="00343DB0" w:rsidRDefault="00343DB0" w:rsidP="00343DB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43D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Authorisation</w:t>
      </w:r>
    </w:p>
    <w:p w14:paraId="20FCCD0A" w14:textId="77777777" w:rsidR="00343DB0" w:rsidRPr="00343DB0" w:rsidRDefault="00343DB0" w:rsidP="00343DB0">
      <w:pPr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43D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This endpoint is user restricted and requires an access token to be sent in the Authorisation header. Read about user-restricted endpoints in the tutorial section to understand more about these type of endpoints. You also need to send a DfE Information API Subscription key in a header. This key can be retrieved by Subscribing to the API.</w:t>
      </w:r>
    </w:p>
    <w:p w14:paraId="1D52AB83" w14:textId="77777777" w:rsidR="00343DB0" w:rsidRPr="00343DB0" w:rsidRDefault="00343DB0" w:rsidP="00343DB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43D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Request headers</w:t>
      </w:r>
    </w:p>
    <w:tbl>
      <w:tblPr>
        <w:tblW w:w="95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7"/>
        <w:gridCol w:w="6432"/>
      </w:tblGrid>
      <w:tr w:rsidR="00343DB0" w:rsidRPr="00343DB0" w14:paraId="0FF1F687" w14:textId="77777777" w:rsidTr="00343DB0">
        <w:trPr>
          <w:tblHeader/>
        </w:trPr>
        <w:tc>
          <w:tcPr>
            <w:tcW w:w="4496" w:type="dxa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78A80E2" w14:textId="77777777" w:rsidR="00343DB0" w:rsidRPr="00343DB0" w:rsidRDefault="00343DB0" w:rsidP="00343DB0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343DB0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4783" w:type="dxa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677F0BBB" w14:textId="77777777" w:rsidR="00343DB0" w:rsidRPr="00343DB0" w:rsidRDefault="00343DB0" w:rsidP="00343DB0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343DB0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  <w:t>Description</w:t>
            </w:r>
          </w:p>
        </w:tc>
      </w:tr>
      <w:tr w:rsidR="00343DB0" w:rsidRPr="00343DB0" w14:paraId="16A295BF" w14:textId="77777777" w:rsidTr="00343DB0"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508B5A9B" w14:textId="77777777" w:rsidR="00343DB0" w:rsidRPr="00343DB0" w:rsidRDefault="00343DB0" w:rsidP="00343DB0">
            <w:pPr>
              <w:spacing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343DB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Ocp-Apim-Subscription-Key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0D1FC3AE" w14:textId="77777777" w:rsidR="00343DB0" w:rsidRPr="00343DB0" w:rsidRDefault="00343DB0" w:rsidP="00343DB0">
            <w:pPr>
              <w:spacing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343DB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DfE Information API subscription key</w:t>
            </w:r>
          </w:p>
        </w:tc>
      </w:tr>
      <w:tr w:rsidR="00343DB0" w:rsidRPr="00343DB0" w14:paraId="2D029A9F" w14:textId="77777777" w:rsidTr="00343DB0"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6578851" w14:textId="77777777" w:rsidR="00343DB0" w:rsidRPr="00343DB0" w:rsidRDefault="00343DB0" w:rsidP="00343DB0">
            <w:pPr>
              <w:spacing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343DB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Authorisation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171573A7" w14:textId="77777777" w:rsidR="00343DB0" w:rsidRPr="00343DB0" w:rsidRDefault="00343DB0" w:rsidP="00343DB0">
            <w:pPr>
              <w:spacing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343DB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An OAuth 2.0 Bearer token. For example: </w:t>
            </w:r>
            <w:r w:rsidRPr="00343DB0">
              <w:rPr>
                <w:rFonts w:ascii="Consolas" w:eastAsia="Times New Roman" w:hAnsi="Consolas" w:cs="Courier New"/>
                <w:color w:val="0B0C0C"/>
                <w:sz w:val="21"/>
                <w:szCs w:val="21"/>
                <w:bdr w:val="none" w:sz="0" w:space="0" w:color="auto" w:frame="1"/>
                <w:shd w:val="clear" w:color="auto" w:fill="F8F8F8"/>
                <w:lang w:eastAsia="en-GB"/>
              </w:rPr>
              <w:t>Bearer d3931854e4f440138f8e2e9dc007635a</w:t>
            </w:r>
          </w:p>
        </w:tc>
      </w:tr>
    </w:tbl>
    <w:p w14:paraId="57F28E24" w14:textId="77777777" w:rsidR="00343DB0" w:rsidRPr="00343DB0" w:rsidRDefault="00343DB0" w:rsidP="00343DB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43D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Response</w:t>
      </w:r>
    </w:p>
    <w:p w14:paraId="0F43E6C1" w14:textId="77777777" w:rsidR="00343DB0" w:rsidRPr="00343DB0" w:rsidRDefault="00343DB0" w:rsidP="00343DB0">
      <w:pPr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43D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HTTP status: </w:t>
      </w:r>
      <w:r w:rsidRPr="00343DB0">
        <w:rPr>
          <w:rFonts w:ascii="Consolas" w:eastAsia="Times New Roman" w:hAnsi="Consolas" w:cs="Courier New"/>
          <w:color w:val="0B0C0C"/>
          <w:sz w:val="21"/>
          <w:szCs w:val="21"/>
          <w:bdr w:val="none" w:sz="0" w:space="0" w:color="auto" w:frame="1"/>
          <w:shd w:val="clear" w:color="auto" w:fill="F8F8F8"/>
          <w:lang w:eastAsia="en-GB"/>
        </w:rPr>
        <w:t>200 (OK)</w:t>
      </w:r>
    </w:p>
    <w:p w14:paraId="3AF82E44" w14:textId="77777777" w:rsidR="00343DB0" w:rsidRPr="00343DB0" w:rsidRDefault="00343DB0" w:rsidP="0034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3DB0">
        <w:rPr>
          <w:rFonts w:ascii="Consolas" w:eastAsia="Times New Roman" w:hAnsi="Consolas" w:cs="Courier New"/>
          <w:color w:val="0B0C0C"/>
          <w:sz w:val="21"/>
          <w:szCs w:val="21"/>
          <w:bdr w:val="none" w:sz="0" w:space="0" w:color="auto" w:frame="1"/>
          <w:shd w:val="clear" w:color="auto" w:fill="F8F8F8"/>
          <w:lang w:eastAsia="en-GB"/>
        </w:rPr>
        <w:t>{ "User Information: The Department for Education is responsible for children’s services and education, including early years, schools, higher and further education policy, apprenticeships and wider skills in England." }</w:t>
      </w:r>
    </w:p>
    <w:p w14:paraId="12621FAA" w14:textId="77777777" w:rsidR="00A42DC4" w:rsidRPr="00343DB0" w:rsidRDefault="00A42DC4" w:rsidP="00343DB0"/>
    <w:sectPr w:rsidR="00A42DC4" w:rsidRPr="00343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865"/>
    <w:multiLevelType w:val="multilevel"/>
    <w:tmpl w:val="EE06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D2737F"/>
    <w:multiLevelType w:val="multilevel"/>
    <w:tmpl w:val="25FC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765BD9"/>
    <w:multiLevelType w:val="multilevel"/>
    <w:tmpl w:val="DFB4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D636EF"/>
    <w:multiLevelType w:val="multilevel"/>
    <w:tmpl w:val="5FF6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A64BC7"/>
    <w:multiLevelType w:val="multilevel"/>
    <w:tmpl w:val="AF0A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2415034">
    <w:abstractNumId w:val="2"/>
  </w:num>
  <w:num w:numId="2" w16cid:durableId="685525720">
    <w:abstractNumId w:val="0"/>
  </w:num>
  <w:num w:numId="3" w16cid:durableId="1466316197">
    <w:abstractNumId w:val="1"/>
  </w:num>
  <w:num w:numId="4" w16cid:durableId="1138255271">
    <w:abstractNumId w:val="3"/>
  </w:num>
  <w:num w:numId="5" w16cid:durableId="2155116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B0"/>
    <w:rsid w:val="00343DB0"/>
    <w:rsid w:val="00876E15"/>
    <w:rsid w:val="00A42DC4"/>
    <w:rsid w:val="00F11819"/>
    <w:rsid w:val="00F8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7B6060"/>
  <w15:chartTrackingRefBased/>
  <w15:docId w15:val="{77A52907-6D24-4A41-A763-07C8DA8F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3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43D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343D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DB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43DB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43DB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govuk-body">
    <w:name w:val="govuk-body"/>
    <w:basedOn w:val="Normal"/>
    <w:rsid w:val="0034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43DB0"/>
    <w:rPr>
      <w:color w:val="0000FF"/>
      <w:u w:val="single"/>
    </w:rPr>
  </w:style>
  <w:style w:type="character" w:customStyle="1" w:styleId="govuk-detailssummary-text">
    <w:name w:val="govuk-details__summary-text"/>
    <w:basedOn w:val="DefaultParagraphFont"/>
    <w:rsid w:val="00343DB0"/>
  </w:style>
  <w:style w:type="character" w:styleId="Strong">
    <w:name w:val="Strong"/>
    <w:basedOn w:val="DefaultParagraphFont"/>
    <w:uiPriority w:val="22"/>
    <w:qFormat/>
    <w:rsid w:val="00343DB0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343DB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3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26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B1B4B6"/>
            <w:bottom w:val="none" w:sz="0" w:space="0" w:color="auto"/>
            <w:right w:val="none" w:sz="0" w:space="0" w:color="auto"/>
          </w:divBdr>
        </w:div>
        <w:div w:id="963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31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B1B4B6"/>
            <w:bottom w:val="none" w:sz="0" w:space="0" w:color="auto"/>
            <w:right w:val="none" w:sz="0" w:space="0" w:color="auto"/>
          </w:divBdr>
        </w:div>
        <w:div w:id="20437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11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B1B4B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106t01-eapim-external-portal-app.azurewebsites.net/apis/DFEInformationApi_V1" TargetMode="External"/><Relationship Id="rId13" Type="http://schemas.openxmlformats.org/officeDocument/2006/relationships/hyperlink" Target="https://c106t01-eapim-external-portal-app.azurewebsites.net/documentation/tutori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106t01-eapim-external-portal-app.azurewebsites.net/apis/DFEInformationApi_V1" TargetMode="External"/><Relationship Id="rId12" Type="http://schemas.openxmlformats.org/officeDocument/2006/relationships/hyperlink" Target="https://c106t01-eapim-external-portal-app.azurewebsites.net/documentation/authorisa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106t01-eapim-external-portal-app.azurewebsites.net/apis/DFEInformationApi_V1" TargetMode="External"/><Relationship Id="rId11" Type="http://schemas.openxmlformats.org/officeDocument/2006/relationships/hyperlink" Target="https://c106t01-eapim-external-portal-app.azurewebsites.net/apis/DFEInformationApi_V1" TargetMode="External"/><Relationship Id="rId5" Type="http://schemas.openxmlformats.org/officeDocument/2006/relationships/hyperlink" Target="https://c106t01-eapim-external-portal-app.azurewebsites.net/apis/DFEInformationApi_V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106t01-eapim-external-portal-app.azurewebsites.net/apis/DFEInformationApi_V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106t01-eapim-external-portal-app.azurewebsites.net/apis/DFEInformationApi_V1" TargetMode="External"/><Relationship Id="rId14" Type="http://schemas.openxmlformats.org/officeDocument/2006/relationships/hyperlink" Target="https://c106t01-eapim-external-portal-app.azurewebsites.net/static/dfe-information-api.openapi+json.j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993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Sarfraz Malik</dc:creator>
  <cp:keywords/>
  <dc:description/>
  <cp:lastModifiedBy>TATE, Neil</cp:lastModifiedBy>
  <cp:revision>4</cp:revision>
  <dcterms:created xsi:type="dcterms:W3CDTF">2020-10-01T13:37:00Z</dcterms:created>
  <dcterms:modified xsi:type="dcterms:W3CDTF">2023-07-26T08:32:00Z</dcterms:modified>
</cp:coreProperties>
</file>